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FF00" w14:textId="56AEC088" w:rsidR="00A97397" w:rsidRPr="00A97397" w:rsidRDefault="00A97397" w:rsidP="00A97397">
      <w:pPr>
        <w:pStyle w:val="Nincstrkz"/>
        <w:rPr>
          <w:b/>
          <w:bCs/>
        </w:rPr>
      </w:pPr>
      <w:r w:rsidRPr="00A97397">
        <w:rPr>
          <w:b/>
          <w:bCs/>
        </w:rPr>
        <w:t>Sajtóközlemény</w:t>
      </w:r>
    </w:p>
    <w:p w14:paraId="395DC05C" w14:textId="3865AD8A" w:rsidR="00A97397" w:rsidRPr="00A97397" w:rsidRDefault="00A97397" w:rsidP="00A97397">
      <w:pPr>
        <w:pStyle w:val="Nincstrkz"/>
      </w:pPr>
      <w:r w:rsidRPr="00A97397">
        <w:t>Független Pénzügyi Közvetítők Országos Szövetsége</w:t>
      </w:r>
    </w:p>
    <w:p w14:paraId="5B7C67B0" w14:textId="7D29B16E" w:rsidR="00A97397" w:rsidRPr="00A97397" w:rsidRDefault="00A97397" w:rsidP="00A97397">
      <w:pPr>
        <w:pStyle w:val="Nincstrkz"/>
      </w:pPr>
      <w:r w:rsidRPr="00A97397">
        <w:t>2023. október 3.</w:t>
      </w:r>
    </w:p>
    <w:p w14:paraId="2F1166C7" w14:textId="77777777" w:rsidR="00A97397" w:rsidRDefault="00A97397" w:rsidP="00A97397">
      <w:pPr>
        <w:pStyle w:val="Nincstrkz"/>
        <w:jc w:val="center"/>
        <w:rPr>
          <w:b/>
          <w:bCs/>
          <w:sz w:val="28"/>
          <w:szCs w:val="28"/>
        </w:rPr>
      </w:pPr>
    </w:p>
    <w:p w14:paraId="4644E73A" w14:textId="0C8D981E" w:rsidR="007E6D81" w:rsidRPr="00A97397" w:rsidRDefault="00A97397" w:rsidP="00A97397">
      <w:pPr>
        <w:pStyle w:val="Nincstrkz"/>
        <w:jc w:val="center"/>
        <w:rPr>
          <w:b/>
          <w:bCs/>
          <w:sz w:val="28"/>
          <w:szCs w:val="28"/>
        </w:rPr>
      </w:pPr>
      <w:r w:rsidRPr="00A97397">
        <w:rPr>
          <w:b/>
          <w:bCs/>
          <w:sz w:val="28"/>
          <w:szCs w:val="28"/>
        </w:rPr>
        <w:t>7 javaslat a lakossági hitelezés megreformálására</w:t>
      </w:r>
    </w:p>
    <w:p w14:paraId="013C16BE" w14:textId="77777777" w:rsidR="007E6D81" w:rsidRDefault="007E6D81" w:rsidP="00AE0E01">
      <w:pPr>
        <w:pStyle w:val="Nincstrkz"/>
        <w:jc w:val="both"/>
      </w:pPr>
    </w:p>
    <w:p w14:paraId="1197A9E6" w14:textId="77777777" w:rsidR="007E6D81" w:rsidRDefault="007E6D81" w:rsidP="00AE0E01">
      <w:pPr>
        <w:pStyle w:val="Nincstrkz"/>
        <w:jc w:val="both"/>
      </w:pPr>
    </w:p>
    <w:p w14:paraId="5D11B60E" w14:textId="67A7CA6F" w:rsidR="007E6D81" w:rsidRPr="00FA2327" w:rsidRDefault="007E6D81" w:rsidP="00AE0E01">
      <w:pPr>
        <w:pStyle w:val="Nincstrkz"/>
        <w:jc w:val="both"/>
        <w:rPr>
          <w:b/>
          <w:bCs/>
          <w:sz w:val="24"/>
          <w:szCs w:val="24"/>
        </w:rPr>
      </w:pPr>
      <w:r w:rsidRPr="00FA2327">
        <w:rPr>
          <w:b/>
          <w:bCs/>
          <w:sz w:val="24"/>
          <w:szCs w:val="24"/>
        </w:rPr>
        <w:t xml:space="preserve">Nagy Márton </w:t>
      </w:r>
      <w:r w:rsidR="00AE0E01" w:rsidRPr="00FA2327">
        <w:rPr>
          <w:b/>
          <w:bCs/>
          <w:sz w:val="24"/>
          <w:szCs w:val="24"/>
        </w:rPr>
        <w:t xml:space="preserve">gazdaságfejlesztési miniszter szeptember 26-án felszólította a bankokat, hogy vállaljanak aktív szerepet a hazai hitelezés élénkítésében. </w:t>
      </w:r>
      <w:r w:rsidR="00EE4579" w:rsidRPr="00FA2327">
        <w:rPr>
          <w:b/>
          <w:bCs/>
          <w:sz w:val="24"/>
          <w:szCs w:val="24"/>
        </w:rPr>
        <w:t>A Független Pénzügyi Közvetítők Országos Szövetsége, mint a hazai lakáshitelezés közel 50%-</w:t>
      </w:r>
      <w:proofErr w:type="spellStart"/>
      <w:r w:rsidR="00EE4579" w:rsidRPr="00FA2327">
        <w:rPr>
          <w:b/>
          <w:bCs/>
          <w:sz w:val="24"/>
          <w:szCs w:val="24"/>
        </w:rPr>
        <w:t>áb</w:t>
      </w:r>
      <w:r w:rsidR="00A97397" w:rsidRPr="00FA2327">
        <w:rPr>
          <w:b/>
          <w:bCs/>
          <w:sz w:val="24"/>
          <w:szCs w:val="24"/>
        </w:rPr>
        <w:t>a</w:t>
      </w:r>
      <w:r w:rsidR="00EE4579" w:rsidRPr="00FA2327">
        <w:rPr>
          <w:b/>
          <w:bCs/>
          <w:sz w:val="24"/>
          <w:szCs w:val="24"/>
        </w:rPr>
        <w:t>n</w:t>
      </w:r>
      <w:proofErr w:type="spellEnd"/>
      <w:r w:rsidR="00EE4579" w:rsidRPr="00FA2327">
        <w:rPr>
          <w:b/>
          <w:bCs/>
          <w:sz w:val="24"/>
          <w:szCs w:val="24"/>
        </w:rPr>
        <w:t xml:space="preserve"> aktív szerepet játszó szakmai szervezet kidolgozta </w:t>
      </w:r>
      <w:r w:rsidR="00522B48" w:rsidRPr="00FA2327">
        <w:rPr>
          <w:b/>
          <w:bCs/>
          <w:sz w:val="24"/>
          <w:szCs w:val="24"/>
        </w:rPr>
        <w:t xml:space="preserve">részletes </w:t>
      </w:r>
      <w:r w:rsidR="00EE4579" w:rsidRPr="00FA2327">
        <w:rPr>
          <w:b/>
          <w:bCs/>
          <w:sz w:val="24"/>
          <w:szCs w:val="24"/>
        </w:rPr>
        <w:t xml:space="preserve">javaslatait, mely </w:t>
      </w:r>
      <w:r w:rsidR="00522B48" w:rsidRPr="00FA2327">
        <w:rPr>
          <w:b/>
          <w:bCs/>
          <w:sz w:val="24"/>
          <w:szCs w:val="24"/>
        </w:rPr>
        <w:t xml:space="preserve">jelentős szerepet kaphat az elmúlt 20 év mélypontjához közelálló, a gazdasági növekedést is negatívan érintő hitelvolumenek élénkítésében. </w:t>
      </w:r>
    </w:p>
    <w:p w14:paraId="58F83512" w14:textId="77777777" w:rsidR="00522B48" w:rsidRDefault="00522B48" w:rsidP="00AE0E01">
      <w:pPr>
        <w:pStyle w:val="Nincstrkz"/>
        <w:jc w:val="both"/>
      </w:pPr>
    </w:p>
    <w:p w14:paraId="6FC6AF7F" w14:textId="1D384DDD" w:rsidR="00BB3CE0" w:rsidRDefault="00BB3CE0" w:rsidP="00BB3CE0">
      <w:pPr>
        <w:pStyle w:val="Nincstrkz"/>
        <w:numPr>
          <w:ilvl w:val="0"/>
          <w:numId w:val="1"/>
        </w:numPr>
        <w:jc w:val="both"/>
      </w:pPr>
      <w:r>
        <w:t>A lakáspiachoz kapcsolódó hitelkihelyezés adja a lakossági hitelfelvétel 50%-át</w:t>
      </w:r>
      <w:r w:rsidR="00522B48">
        <w:t>, mely az elmúlt 20 évben csupán 4 alkalommal volt alacsonyabb szinten, mint 2023 második negyedévében</w:t>
      </w:r>
      <w:r>
        <w:t xml:space="preserve"> </w:t>
      </w:r>
    </w:p>
    <w:p w14:paraId="66A64C55" w14:textId="3A705B01" w:rsidR="00BB3CE0" w:rsidRDefault="00522B48" w:rsidP="00BB3CE0">
      <w:pPr>
        <w:pStyle w:val="Nincstrkz"/>
        <w:numPr>
          <w:ilvl w:val="0"/>
          <w:numId w:val="1"/>
        </w:numPr>
        <w:jc w:val="both"/>
      </w:pPr>
      <w:r>
        <w:t>A lakossági hitelezés élénkítése nemzetgazdasági szempontból kiemelkedően fontos, ráadásul a jelenlegi eladósodottsági szint nemzetközi összehasonlításban kiugróan alacsony</w:t>
      </w:r>
    </w:p>
    <w:p w14:paraId="43D732C6" w14:textId="77777777" w:rsidR="00A97397" w:rsidRDefault="00A97397" w:rsidP="00A97397">
      <w:pPr>
        <w:pStyle w:val="Nincstrkz"/>
        <w:jc w:val="both"/>
      </w:pPr>
    </w:p>
    <w:p w14:paraId="70AE6C9B" w14:textId="67F0A2FD" w:rsidR="00A97397" w:rsidRPr="00A97397" w:rsidRDefault="00A97397" w:rsidP="00A97397">
      <w:pPr>
        <w:pStyle w:val="Nincstrkz"/>
        <w:jc w:val="both"/>
      </w:pPr>
      <w:r>
        <w:t>A</w:t>
      </w:r>
      <w:r w:rsidRPr="00A97397">
        <w:rPr>
          <w:b/>
          <w:bCs/>
        </w:rPr>
        <w:t xml:space="preserve"> </w:t>
      </w:r>
      <w:r w:rsidRPr="00522B48">
        <w:rPr>
          <w:b/>
          <w:bCs/>
        </w:rPr>
        <w:t>Független Pénzügyi Közvetítők Országos Szövetség</w:t>
      </w:r>
      <w:r>
        <w:rPr>
          <w:b/>
          <w:bCs/>
        </w:rPr>
        <w:t>ének 7 pontja a hitelezés élénkítésére:</w:t>
      </w:r>
    </w:p>
    <w:p w14:paraId="77C2D77A" w14:textId="0323B297" w:rsidR="00A97397" w:rsidRDefault="00A97397" w:rsidP="00A97397">
      <w:pPr>
        <w:pStyle w:val="Nincstrkz"/>
        <w:numPr>
          <w:ilvl w:val="0"/>
          <w:numId w:val="5"/>
        </w:numPr>
        <w:jc w:val="both"/>
      </w:pPr>
      <w:r w:rsidRPr="00A97397">
        <w:t>Hitelezéshez elengedhetetlen adatbázisokhoz</w:t>
      </w:r>
      <w:r>
        <w:t xml:space="preserve"> (KHR, jövedelem…</w:t>
      </w:r>
      <w:proofErr w:type="spellStart"/>
      <w:r>
        <w:t>stb</w:t>
      </w:r>
      <w:proofErr w:type="spellEnd"/>
      <w:r>
        <w:t>)</w:t>
      </w:r>
      <w:r w:rsidRPr="00A97397">
        <w:t>, rendszerekhez történő hozzáférés biztosítása a folyamat aktív résztvevői számára</w:t>
      </w:r>
    </w:p>
    <w:p w14:paraId="523CF28E" w14:textId="19C5491A" w:rsidR="00A97397" w:rsidRDefault="00A97397" w:rsidP="00A97397">
      <w:pPr>
        <w:pStyle w:val="Nincstrkz"/>
        <w:numPr>
          <w:ilvl w:val="0"/>
          <w:numId w:val="5"/>
        </w:numPr>
        <w:jc w:val="both"/>
      </w:pPr>
      <w:r w:rsidRPr="00A97397">
        <w:t>Közjegyzői folyamat és díjazás változtatása a hitelfelvételnél</w:t>
      </w:r>
    </w:p>
    <w:p w14:paraId="23BDBCC9" w14:textId="43B8120D" w:rsidR="00A97397" w:rsidRDefault="00A97397" w:rsidP="00A97397">
      <w:pPr>
        <w:pStyle w:val="Nincstrkz"/>
        <w:numPr>
          <w:ilvl w:val="0"/>
          <w:numId w:val="5"/>
        </w:numPr>
        <w:jc w:val="both"/>
      </w:pPr>
      <w:r w:rsidRPr="00A97397">
        <w:t>Hiteligénylés digitális aláírással</w:t>
      </w:r>
    </w:p>
    <w:p w14:paraId="1FDFCC65" w14:textId="28EC6373" w:rsidR="00A97397" w:rsidRDefault="00A97397" w:rsidP="00A97397">
      <w:pPr>
        <w:pStyle w:val="Nincstrkz"/>
        <w:numPr>
          <w:ilvl w:val="0"/>
          <w:numId w:val="5"/>
        </w:numPr>
        <w:jc w:val="both"/>
      </w:pPr>
      <w:r w:rsidRPr="00A97397">
        <w:t>Egységes szerkezetű hitel termékhirdetmények</w:t>
      </w:r>
    </w:p>
    <w:p w14:paraId="08CEF46C" w14:textId="4418B728" w:rsidR="00A97397" w:rsidRDefault="00A97397" w:rsidP="00A97397">
      <w:pPr>
        <w:pStyle w:val="Nincstrkz"/>
        <w:numPr>
          <w:ilvl w:val="0"/>
          <w:numId w:val="5"/>
        </w:numPr>
        <w:jc w:val="both"/>
      </w:pPr>
      <w:r w:rsidRPr="00A97397">
        <w:t>CSOK és kapcsolódó támogatott hitel</w:t>
      </w:r>
      <w:r>
        <w:t>: teljeskörű előminősítés</w:t>
      </w:r>
    </w:p>
    <w:p w14:paraId="42E98082" w14:textId="00A404F6" w:rsidR="00A97397" w:rsidRDefault="00A97397" w:rsidP="00A97397">
      <w:pPr>
        <w:pStyle w:val="Nincstrkz"/>
        <w:numPr>
          <w:ilvl w:val="0"/>
          <w:numId w:val="5"/>
        </w:numPr>
        <w:jc w:val="both"/>
      </w:pPr>
      <w:r w:rsidRPr="00A97397">
        <w:t>Hitelkiváltások könnyítése</w:t>
      </w:r>
    </w:p>
    <w:p w14:paraId="4ECA9328" w14:textId="3F32DAD4" w:rsidR="00A97397" w:rsidRDefault="00A97397" w:rsidP="00A97397">
      <w:pPr>
        <w:pStyle w:val="Nincstrkz"/>
        <w:numPr>
          <w:ilvl w:val="0"/>
          <w:numId w:val="5"/>
        </w:numPr>
        <w:jc w:val="both"/>
      </w:pPr>
      <w:r w:rsidRPr="00A97397">
        <w:t>Bankok közötti árazási versenyt csökkentő tényezők felszámolása</w:t>
      </w:r>
    </w:p>
    <w:p w14:paraId="47F44C9F" w14:textId="77777777" w:rsidR="007E6D81" w:rsidRDefault="007E6D81" w:rsidP="00AE0E01">
      <w:pPr>
        <w:pStyle w:val="Nincstrkz"/>
        <w:jc w:val="both"/>
      </w:pPr>
    </w:p>
    <w:p w14:paraId="7CBCD2B9" w14:textId="77777777" w:rsidR="00A97397" w:rsidRDefault="00A97397" w:rsidP="00AE0E01">
      <w:pPr>
        <w:pStyle w:val="Nincstrkz"/>
        <w:jc w:val="both"/>
      </w:pPr>
    </w:p>
    <w:p w14:paraId="095B1F64" w14:textId="77777777" w:rsidR="00A97397" w:rsidRDefault="00A97397" w:rsidP="00AE0E01">
      <w:pPr>
        <w:pStyle w:val="Nincstrkz"/>
        <w:jc w:val="both"/>
      </w:pPr>
    </w:p>
    <w:p w14:paraId="1B79529D" w14:textId="0972D52C" w:rsidR="007E6D81" w:rsidRPr="00BB3CE0" w:rsidRDefault="0096019F" w:rsidP="00AE0E01">
      <w:pPr>
        <w:pStyle w:val="Nincstrkz"/>
        <w:jc w:val="both"/>
        <w:rPr>
          <w:b/>
          <w:bCs/>
          <w:sz w:val="24"/>
          <w:szCs w:val="24"/>
        </w:rPr>
      </w:pPr>
      <w:r w:rsidRPr="00BB3CE0">
        <w:rPr>
          <w:b/>
          <w:bCs/>
          <w:sz w:val="24"/>
          <w:szCs w:val="24"/>
        </w:rPr>
        <w:t xml:space="preserve">Miért szükséges a hitelezés élénkítése? </w:t>
      </w:r>
      <w:r w:rsidR="000A76A3" w:rsidRPr="00BB3CE0">
        <w:rPr>
          <w:b/>
          <w:bCs/>
          <w:sz w:val="24"/>
          <w:szCs w:val="24"/>
        </w:rPr>
        <w:t>Brutális mélypont</w:t>
      </w:r>
      <w:r w:rsidRPr="00BB3CE0">
        <w:rPr>
          <w:b/>
          <w:bCs/>
          <w:sz w:val="24"/>
          <w:szCs w:val="24"/>
        </w:rPr>
        <w:t>on</w:t>
      </w:r>
      <w:r w:rsidR="000A76A3" w:rsidRPr="00BB3CE0">
        <w:rPr>
          <w:b/>
          <w:bCs/>
          <w:sz w:val="24"/>
          <w:szCs w:val="24"/>
        </w:rPr>
        <w:t xml:space="preserve"> a</w:t>
      </w:r>
      <w:r w:rsidRPr="00BB3CE0">
        <w:rPr>
          <w:b/>
          <w:bCs/>
          <w:sz w:val="24"/>
          <w:szCs w:val="24"/>
        </w:rPr>
        <w:t>z új hitelek volumene</w:t>
      </w:r>
      <w:r w:rsidR="000A76A3" w:rsidRPr="00BB3CE0">
        <w:rPr>
          <w:b/>
          <w:bCs/>
          <w:sz w:val="24"/>
          <w:szCs w:val="24"/>
        </w:rPr>
        <w:t xml:space="preserve"> </w:t>
      </w:r>
    </w:p>
    <w:p w14:paraId="046490BB" w14:textId="36EE7E9F" w:rsidR="000A76A3" w:rsidRDefault="000A76A3" w:rsidP="00AE0E01">
      <w:pPr>
        <w:pStyle w:val="Nincstrkz"/>
        <w:jc w:val="both"/>
      </w:pPr>
    </w:p>
    <w:p w14:paraId="5EC7D7C1" w14:textId="77777777" w:rsidR="00396B70" w:rsidRDefault="000A76A3" w:rsidP="00AE0E01">
      <w:pPr>
        <w:pStyle w:val="Nincstrkz"/>
        <w:jc w:val="both"/>
      </w:pPr>
      <w:r>
        <w:t>A lakossági hitelezésen belül legnagyobb szerepe egyértelműen a lakáshiteleknek van. Ez a hitelfajta adja az elmúlt 4 évben a kihelyezett hitelek 42%-át. Amennyiben ehhez hozzáadjuk a Babaváró hitelek felé</w:t>
      </w:r>
      <w:r w:rsidR="0096019F">
        <w:t xml:space="preserve">t (ez az a rész, mely közvetlen ingatlancélokat szolgál), úgy az összesített lakossági hitelfelvétel több, mint fele lakáspiaci aktivitáshoz kapcsolódik. </w:t>
      </w:r>
    </w:p>
    <w:p w14:paraId="0BCBA53E" w14:textId="77777777" w:rsidR="00BB3CE0" w:rsidRDefault="00BB3CE0" w:rsidP="00AE0E01">
      <w:pPr>
        <w:pStyle w:val="Nincstrkz"/>
        <w:jc w:val="both"/>
      </w:pPr>
    </w:p>
    <w:p w14:paraId="1F8E2B11" w14:textId="7F445294" w:rsidR="000A76A3" w:rsidRDefault="0096019F" w:rsidP="00AE0E01">
      <w:pPr>
        <w:pStyle w:val="Nincstrkz"/>
        <w:jc w:val="both"/>
      </w:pPr>
      <w:r>
        <w:t xml:space="preserve">Az elmúlt 20 év lakáshitelezését vizsgálva megállapítható, hogy a 2022. év közepén a külső körülmények kedvezőtlen változása miatt megindult (háború, energiaválság, infláció, reálbércsökkenés) hitelpiaci visszaesés szinte történelmi mélypontra lökte 2023 második negyedévére a kihelyezett hitelek értékét. </w:t>
      </w:r>
      <w:r w:rsidRPr="00BB3CE0">
        <w:rPr>
          <w:b/>
          <w:bCs/>
        </w:rPr>
        <w:t>20 éves időtávon</w:t>
      </w:r>
      <w:r>
        <w:t xml:space="preserve"> </w:t>
      </w:r>
      <w:r w:rsidR="00A97397">
        <w:t xml:space="preserve">nem nominálisan, hanem </w:t>
      </w:r>
      <w:r>
        <w:t xml:space="preserve">az ingatlanárakkal kiigazítva érdemes megvizsgálni a hitelezési aktivitás változását. Ezen összevetésben </w:t>
      </w:r>
      <w:r w:rsidRPr="00BB3CE0">
        <w:rPr>
          <w:b/>
          <w:bCs/>
        </w:rPr>
        <w:t>mindössze négy olyan negyedét</w:t>
      </w:r>
      <w:r w:rsidRPr="00BB3CE0">
        <w:t xml:space="preserve"> (2012. 2. negyedévtől 2013. első negyedévéig)</w:t>
      </w:r>
      <w:r>
        <w:t xml:space="preserve"> – </w:t>
      </w:r>
      <w:r w:rsidRPr="00BB3CE0">
        <w:rPr>
          <w:b/>
          <w:bCs/>
        </w:rPr>
        <w:t xml:space="preserve">találunk, amikor a </w:t>
      </w:r>
      <w:r w:rsidR="00396B70" w:rsidRPr="00BB3CE0">
        <w:rPr>
          <w:b/>
          <w:bCs/>
        </w:rPr>
        <w:t>lakáshitelezési volumen alacsonyabb volt, mint 2023. második negyedévében</w:t>
      </w:r>
      <w:r w:rsidR="00396B70">
        <w:t xml:space="preserve">. </w:t>
      </w:r>
      <w:r>
        <w:t xml:space="preserve">   </w:t>
      </w:r>
    </w:p>
    <w:p w14:paraId="5DD21265" w14:textId="77777777" w:rsidR="000A76A3" w:rsidRDefault="000A76A3" w:rsidP="00AE0E01">
      <w:pPr>
        <w:pStyle w:val="Nincstrkz"/>
        <w:jc w:val="both"/>
      </w:pPr>
    </w:p>
    <w:p w14:paraId="7724E8B7" w14:textId="51D68059" w:rsidR="0096019F" w:rsidRDefault="0096019F" w:rsidP="00AE0E01">
      <w:pPr>
        <w:pStyle w:val="Nincstrkz"/>
        <w:jc w:val="both"/>
      </w:pPr>
      <w:r>
        <w:rPr>
          <w:noProof/>
        </w:rPr>
        <w:lastRenderedPageBreak/>
        <w:drawing>
          <wp:inline distT="0" distB="0" distL="0" distR="0" wp14:anchorId="2D06BF9C" wp14:editId="7A36C225">
            <wp:extent cx="4984750" cy="2930848"/>
            <wp:effectExtent l="0" t="0" r="6350" b="3175"/>
            <wp:docPr id="339432581" name="Kép 1" descr="A képen szöveg, sor, Diagram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32581" name="Kép 1" descr="A képen szöveg, sor, Diagram, Betűtípus látható&#10;&#10;Automatikusan generált leírá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3624" cy="293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7AC8" w14:textId="77777777" w:rsidR="00396B70" w:rsidRDefault="00396B70" w:rsidP="00AE0E01">
      <w:pPr>
        <w:pStyle w:val="Nincstrkz"/>
        <w:jc w:val="both"/>
      </w:pPr>
    </w:p>
    <w:p w14:paraId="28E5AE7B" w14:textId="795F14B5" w:rsidR="007E6D81" w:rsidRDefault="00396B70" w:rsidP="00AE0E01">
      <w:pPr>
        <w:pStyle w:val="Nincstrkz"/>
        <w:jc w:val="both"/>
      </w:pPr>
      <w:r>
        <w:t>A Független Pénzügyi Közvetítők Országos Szövetsége</w:t>
      </w:r>
      <w:r w:rsidR="00BB3CE0">
        <w:t xml:space="preserve"> (FPKOSZ)</w:t>
      </w:r>
      <w:r>
        <w:t xml:space="preserve"> megalapítását követően jelentős energiát fordított a hazai hitelpiac működésé</w:t>
      </w:r>
      <w:r w:rsidR="00BB3CE0">
        <w:t>ben lévő hatékonysági tartalékok feltárására. Ennek jegyében dolgozta ki saját javaslatcsomagját, melyet eljuttatott a Gazdaságfejlesztési Minisztériumnak. A szövetség a lakáshitelek kihelyezésének közel 50%-</w:t>
      </w:r>
      <w:proofErr w:type="spellStart"/>
      <w:r w:rsidR="00BB3CE0">
        <w:t>ában</w:t>
      </w:r>
      <w:proofErr w:type="spellEnd"/>
      <w:r w:rsidR="00BB3CE0">
        <w:t xml:space="preserve"> aktív szerepet játszik, így a piac működését minden dimenziójában napi szinten ismeri. </w:t>
      </w:r>
    </w:p>
    <w:p w14:paraId="57399AC8" w14:textId="77777777" w:rsidR="00BB3CE0" w:rsidRDefault="00BB3CE0" w:rsidP="00AE0E01">
      <w:pPr>
        <w:pStyle w:val="Nincstrkz"/>
        <w:jc w:val="both"/>
      </w:pPr>
    </w:p>
    <w:p w14:paraId="3EB4A313" w14:textId="4A18169C" w:rsidR="00BB3CE0" w:rsidRPr="00BB3CE0" w:rsidRDefault="00BB3CE0" w:rsidP="00AE0E01">
      <w:pPr>
        <w:pStyle w:val="Nincstrkz"/>
        <w:jc w:val="both"/>
        <w:rPr>
          <w:b/>
          <w:bCs/>
        </w:rPr>
      </w:pPr>
      <w:r w:rsidRPr="00BB3CE0">
        <w:rPr>
          <w:b/>
          <w:bCs/>
          <w:sz w:val="24"/>
          <w:szCs w:val="24"/>
        </w:rPr>
        <w:t>Az FPKOSZ javaslatai a magyar lakossági hitelezés hatékonyságának javítására</w:t>
      </w:r>
    </w:p>
    <w:p w14:paraId="39EF8A07" w14:textId="77777777" w:rsidR="00BB3CE0" w:rsidRDefault="00BB3CE0" w:rsidP="00AE0E01">
      <w:pPr>
        <w:pStyle w:val="Nincstrkz"/>
        <w:jc w:val="both"/>
      </w:pPr>
    </w:p>
    <w:p w14:paraId="47B23245" w14:textId="05D1AD83" w:rsidR="00BB3CE0" w:rsidRPr="001A5278" w:rsidRDefault="001A5278" w:rsidP="00AE0E01">
      <w:pPr>
        <w:pStyle w:val="Nincstrkz"/>
        <w:jc w:val="both"/>
        <w:rPr>
          <w:color w:val="002060"/>
        </w:rPr>
      </w:pPr>
      <w:r w:rsidRPr="001A5278">
        <w:rPr>
          <w:color w:val="002060"/>
        </w:rPr>
        <w:t>1., Hitelezéshez elengedhetetlen adatbázisokhoz, rendszerekhez történő hozzáférés biztosítása a folyamat aktív résztvevői számára</w:t>
      </w:r>
    </w:p>
    <w:p w14:paraId="18DA3949" w14:textId="77777777" w:rsidR="007E6D81" w:rsidRDefault="007E6D81" w:rsidP="00AE0E01">
      <w:pPr>
        <w:pStyle w:val="Nincstrkz"/>
        <w:jc w:val="both"/>
      </w:pPr>
    </w:p>
    <w:p w14:paraId="56EC8D3F" w14:textId="77777777" w:rsidR="001A5278" w:rsidRPr="001A5278" w:rsidRDefault="001A5278" w:rsidP="001A5278">
      <w:pPr>
        <w:spacing w:after="0"/>
        <w:jc w:val="both"/>
        <w:rPr>
          <w:rFonts w:cstheme="minorHAnsi"/>
        </w:rPr>
      </w:pPr>
      <w:r w:rsidRPr="001A5278">
        <w:rPr>
          <w:rFonts w:cstheme="minorHAnsi"/>
        </w:rPr>
        <w:t xml:space="preserve">Jelenleg </w:t>
      </w:r>
      <w:r w:rsidRPr="001A5278">
        <w:rPr>
          <w:rFonts w:cstheme="minorHAnsi"/>
          <w:b/>
          <w:bCs/>
        </w:rPr>
        <w:t xml:space="preserve">az ügyfélnek </w:t>
      </w:r>
      <w:r w:rsidRPr="001A5278">
        <w:rPr>
          <w:rFonts w:cstheme="minorHAnsi"/>
        </w:rPr>
        <w:t xml:space="preserve">a banki hitelbírálathoz </w:t>
      </w:r>
      <w:r w:rsidRPr="001A5278">
        <w:rPr>
          <w:rFonts w:cstheme="minorHAnsi"/>
          <w:b/>
          <w:bCs/>
        </w:rPr>
        <w:t>szükséges igazolások, dokumentumok begyűjtése nagyon bonyolult és időigényes folyamat (teljesen eltérő forrásokból származnak – online vagy személyesen beszerezhetőek – érvényességi és elfogadási idő mindig eltérő, sok esetben a legkorábbi lejár mire az utolsó szükséges igazolás kiállításra kerül)</w:t>
      </w:r>
      <w:r w:rsidRPr="001A5278">
        <w:rPr>
          <w:rFonts w:cstheme="minorHAnsi"/>
        </w:rPr>
        <w:t xml:space="preserve">. Ezáltal ez </w:t>
      </w:r>
      <w:r w:rsidRPr="001A5278">
        <w:rPr>
          <w:rFonts w:cstheme="minorHAnsi"/>
          <w:b/>
          <w:bCs/>
        </w:rPr>
        <w:t>a teher teljesen az ügyfél oldalára kerül</w:t>
      </w:r>
      <w:r w:rsidRPr="001A5278">
        <w:rPr>
          <w:rFonts w:cstheme="minorHAnsi"/>
        </w:rPr>
        <w:t xml:space="preserve"> és megnehezíti a teljes hitelfelvételi folyamatot. Az egész hitelfelvétel </w:t>
      </w:r>
      <w:r w:rsidRPr="001A5278">
        <w:rPr>
          <w:rFonts w:cstheme="minorHAnsi"/>
          <w:b/>
          <w:bCs/>
        </w:rPr>
        <w:t>átfutása hosszabbá válik</w:t>
      </w:r>
      <w:r w:rsidRPr="001A5278">
        <w:rPr>
          <w:rFonts w:cstheme="minorHAnsi"/>
        </w:rPr>
        <w:t>, illetve számos esetben ez</w:t>
      </w:r>
      <w:r w:rsidRPr="001A5278">
        <w:rPr>
          <w:rFonts w:cstheme="minorHAnsi"/>
          <w:b/>
          <w:bCs/>
        </w:rPr>
        <w:t xml:space="preserve"> korlátja tud lenni a hitelügyletnek</w:t>
      </w:r>
      <w:r w:rsidRPr="001A5278">
        <w:rPr>
          <w:rFonts w:cstheme="minorHAnsi"/>
        </w:rPr>
        <w:t xml:space="preserve"> is.</w:t>
      </w:r>
    </w:p>
    <w:p w14:paraId="351A056B" w14:textId="77777777" w:rsidR="001A5278" w:rsidRDefault="001A5278" w:rsidP="00AE0E01">
      <w:pPr>
        <w:pStyle w:val="Nincstrkz"/>
        <w:jc w:val="both"/>
      </w:pPr>
    </w:p>
    <w:p w14:paraId="0C8C07CE" w14:textId="70562D70" w:rsidR="00396B70" w:rsidRDefault="001A5278" w:rsidP="00AE0E01">
      <w:pPr>
        <w:pStyle w:val="Nincstrkz"/>
        <w:jc w:val="both"/>
      </w:pPr>
      <w:r>
        <w:t xml:space="preserve">A mai szabályozás mind az ügyfél, mind a bank, mind a közvetítő számára </w:t>
      </w:r>
      <w:r w:rsidRPr="001A5278">
        <w:rPr>
          <w:b/>
          <w:bCs/>
        </w:rPr>
        <w:t>időigényesebb és drágább folyamatot eredményez</w:t>
      </w:r>
      <w:r>
        <w:t xml:space="preserve">, mintha a hitelezéshez elengedhetetlen alábbi rendszerek hozzáférése biztosított lenne a folyamat minden szereplője számára: </w:t>
      </w:r>
    </w:p>
    <w:p w14:paraId="7C1D79AB" w14:textId="77777777" w:rsidR="001A5278" w:rsidRPr="001A5278" w:rsidRDefault="001A5278" w:rsidP="001A5278">
      <w:pPr>
        <w:pStyle w:val="Listaszerbekezds"/>
        <w:numPr>
          <w:ilvl w:val="1"/>
          <w:numId w:val="3"/>
        </w:numPr>
        <w:jc w:val="both"/>
        <w:rPr>
          <w:rFonts w:cstheme="minorHAnsi"/>
        </w:rPr>
      </w:pPr>
      <w:r w:rsidRPr="001A5278">
        <w:rPr>
          <w:rFonts w:cstheme="minorHAnsi"/>
        </w:rPr>
        <w:t>Központi Hitelinformációs Rendszer (KHR)</w:t>
      </w:r>
    </w:p>
    <w:p w14:paraId="11D18EF5" w14:textId="77777777" w:rsidR="001A5278" w:rsidRPr="001A5278" w:rsidRDefault="001A5278" w:rsidP="001A5278">
      <w:pPr>
        <w:pStyle w:val="Listaszerbekezds"/>
        <w:numPr>
          <w:ilvl w:val="1"/>
          <w:numId w:val="3"/>
        </w:numPr>
        <w:jc w:val="both"/>
        <w:rPr>
          <w:rFonts w:cstheme="minorHAnsi"/>
        </w:rPr>
      </w:pPr>
      <w:r w:rsidRPr="001A5278">
        <w:rPr>
          <w:rFonts w:cstheme="minorHAnsi"/>
        </w:rPr>
        <w:t>Jövedelem Információs Rendszer (JIR)</w:t>
      </w:r>
    </w:p>
    <w:p w14:paraId="2F660DF8" w14:textId="77777777" w:rsidR="001A5278" w:rsidRPr="001A5278" w:rsidRDefault="001A5278" w:rsidP="001A5278">
      <w:pPr>
        <w:pStyle w:val="Listaszerbekezds"/>
        <w:numPr>
          <w:ilvl w:val="1"/>
          <w:numId w:val="3"/>
        </w:numPr>
        <w:jc w:val="both"/>
        <w:rPr>
          <w:rFonts w:cstheme="minorHAnsi"/>
        </w:rPr>
      </w:pPr>
      <w:r w:rsidRPr="001A5278">
        <w:rPr>
          <w:rFonts w:cstheme="minorHAnsi"/>
        </w:rPr>
        <w:t>TB jogviszony igazolása</w:t>
      </w:r>
    </w:p>
    <w:p w14:paraId="7932A913" w14:textId="77777777" w:rsidR="001A5278" w:rsidRPr="001A5278" w:rsidRDefault="001A5278" w:rsidP="001A5278">
      <w:pPr>
        <w:pStyle w:val="Listaszerbekezds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1A5278">
        <w:rPr>
          <w:rFonts w:cstheme="minorHAnsi"/>
        </w:rPr>
        <w:t>MÁK hozzájárulás</w:t>
      </w:r>
    </w:p>
    <w:p w14:paraId="278D30C5" w14:textId="77777777" w:rsidR="001A5278" w:rsidRPr="001A5278" w:rsidRDefault="001A5278" w:rsidP="001A5278">
      <w:pPr>
        <w:pStyle w:val="Listaszerbekezds"/>
        <w:numPr>
          <w:ilvl w:val="1"/>
          <w:numId w:val="3"/>
        </w:numPr>
        <w:spacing w:after="0"/>
        <w:jc w:val="both"/>
        <w:rPr>
          <w:rFonts w:cstheme="minorHAnsi"/>
        </w:rPr>
      </w:pPr>
      <w:r w:rsidRPr="001A5278">
        <w:rPr>
          <w:rFonts w:cstheme="minorHAnsi"/>
        </w:rPr>
        <w:t>Hatósági címigazolás</w:t>
      </w:r>
    </w:p>
    <w:p w14:paraId="32FFBCC6" w14:textId="14076E41" w:rsidR="001A5278" w:rsidRDefault="001A5278" w:rsidP="001A5278">
      <w:pPr>
        <w:pStyle w:val="Nincstrkz"/>
        <w:tabs>
          <w:tab w:val="left" w:pos="1060"/>
        </w:tabs>
        <w:jc w:val="both"/>
      </w:pPr>
      <w:r>
        <w:tab/>
      </w:r>
    </w:p>
    <w:p w14:paraId="627ECBF1" w14:textId="4983BC2C" w:rsidR="001A5278" w:rsidRPr="001A5278" w:rsidRDefault="001A5278" w:rsidP="00AE0E01">
      <w:pPr>
        <w:pStyle w:val="Nincstrkz"/>
        <w:jc w:val="both"/>
        <w:rPr>
          <w:color w:val="002060"/>
        </w:rPr>
      </w:pPr>
      <w:r w:rsidRPr="001A5278">
        <w:rPr>
          <w:color w:val="002060"/>
        </w:rPr>
        <w:t>2., Közjegyzői folyamat és díjazás változtatása a hitelfelvételnél</w:t>
      </w:r>
    </w:p>
    <w:p w14:paraId="1062CEAB" w14:textId="77777777" w:rsidR="001A5278" w:rsidRDefault="001A5278" w:rsidP="00AE0E01">
      <w:pPr>
        <w:pStyle w:val="Nincstrkz"/>
        <w:jc w:val="both"/>
      </w:pPr>
    </w:p>
    <w:p w14:paraId="27A64C5C" w14:textId="0FCB1B38" w:rsidR="001A5278" w:rsidRDefault="001A5278" w:rsidP="00AE0E01">
      <w:pPr>
        <w:pStyle w:val="Nincstrkz"/>
        <w:jc w:val="both"/>
      </w:pPr>
      <w:r>
        <w:t xml:space="preserve">A közjegyzői díjakat ma a hitelfelvevők egységesen drágának ítélik meg, ráadásul a díjazás előre nem kalkulálható pontosan, mely egyet jelent azzal, hogy a </w:t>
      </w:r>
      <w:r w:rsidR="00C008BA">
        <w:t xml:space="preserve">hitelszerződés költsége a folyamat kezdetén nem mutatható be az ügyfélnek pontosan. </w:t>
      </w:r>
    </w:p>
    <w:p w14:paraId="28651744" w14:textId="77777777" w:rsidR="001A5278" w:rsidRDefault="001A5278" w:rsidP="00AE0E01">
      <w:pPr>
        <w:pStyle w:val="Nincstrkz"/>
        <w:jc w:val="both"/>
      </w:pPr>
    </w:p>
    <w:p w14:paraId="1441B9F6" w14:textId="57AFA2CD" w:rsidR="00C008BA" w:rsidRPr="00C008BA" w:rsidRDefault="00C008BA" w:rsidP="00AE0E01">
      <w:pPr>
        <w:pStyle w:val="Nincstrkz"/>
        <w:jc w:val="both"/>
      </w:pPr>
      <w:r w:rsidRPr="00C008BA">
        <w:lastRenderedPageBreak/>
        <w:t xml:space="preserve">Az FPKOSZ </w:t>
      </w:r>
      <w:r w:rsidRPr="00C008BA">
        <w:rPr>
          <w:rStyle w:val="contentpasted0"/>
          <w:rFonts w:cstheme="minorHAnsi"/>
        </w:rPr>
        <w:t>javasolj</w:t>
      </w:r>
      <w:r>
        <w:rPr>
          <w:rStyle w:val="contentpasted0"/>
          <w:rFonts w:cstheme="minorHAnsi"/>
        </w:rPr>
        <w:t>a</w:t>
      </w:r>
      <w:r w:rsidRPr="00C008BA">
        <w:rPr>
          <w:rStyle w:val="contentpasted0"/>
          <w:rFonts w:cstheme="minorHAnsi"/>
        </w:rPr>
        <w:t xml:space="preserve"> továbbá </w:t>
      </w:r>
      <w:r>
        <w:rPr>
          <w:rStyle w:val="contentpasted0"/>
          <w:rFonts w:cstheme="minorHAnsi"/>
        </w:rPr>
        <w:t>a</w:t>
      </w:r>
      <w:r w:rsidRPr="00C008BA">
        <w:rPr>
          <w:rStyle w:val="contentpasted0"/>
          <w:rFonts w:cstheme="minorHAnsi"/>
        </w:rPr>
        <w:t xml:space="preserve"> </w:t>
      </w:r>
      <w:r w:rsidRPr="00C008BA">
        <w:rPr>
          <w:rStyle w:val="contentpasted0"/>
          <w:rFonts w:cstheme="minorHAnsi"/>
          <w:b/>
          <w:bCs/>
        </w:rPr>
        <w:t>bankfüggetlen és termékfüggetlen egységes közokirati díjszabás kialakítását</w:t>
      </w:r>
      <w:r>
        <w:rPr>
          <w:rStyle w:val="contentpasted0"/>
          <w:rFonts w:cstheme="minorHAnsi"/>
          <w:b/>
          <w:bCs/>
        </w:rPr>
        <w:t xml:space="preserve">, hosszabb távon pedig a személyes közjegyzői aláírás kiváltását digitális aláíráson keresztül. </w:t>
      </w:r>
    </w:p>
    <w:p w14:paraId="658479EE" w14:textId="77777777" w:rsidR="00396B70" w:rsidRPr="00C008BA" w:rsidRDefault="00396B70" w:rsidP="00AE0E01">
      <w:pPr>
        <w:pStyle w:val="Nincstrkz"/>
        <w:jc w:val="both"/>
      </w:pPr>
    </w:p>
    <w:p w14:paraId="7D59DA95" w14:textId="2F97E995" w:rsidR="00396B70" w:rsidRDefault="00C008BA" w:rsidP="00AE0E01">
      <w:pPr>
        <w:pStyle w:val="Nincstrkz"/>
        <w:jc w:val="both"/>
      </w:pPr>
      <w:r>
        <w:rPr>
          <w:color w:val="002060"/>
        </w:rPr>
        <w:t>3</w:t>
      </w:r>
      <w:r w:rsidRPr="001A5278">
        <w:rPr>
          <w:color w:val="002060"/>
        </w:rPr>
        <w:t xml:space="preserve">., </w:t>
      </w:r>
      <w:r>
        <w:rPr>
          <w:color w:val="002060"/>
        </w:rPr>
        <w:t>Hiteligénylés digitális aláírással</w:t>
      </w:r>
    </w:p>
    <w:p w14:paraId="2D83B43B" w14:textId="77777777" w:rsidR="00C008BA" w:rsidRDefault="00C008BA" w:rsidP="00AE0E01">
      <w:pPr>
        <w:pStyle w:val="Nincstrkz"/>
        <w:jc w:val="both"/>
      </w:pPr>
    </w:p>
    <w:p w14:paraId="69AE4819" w14:textId="4923B83C" w:rsidR="00C008BA" w:rsidRPr="00C008BA" w:rsidRDefault="00C008BA" w:rsidP="00AE0E01">
      <w:pPr>
        <w:pStyle w:val="Nincstrkz"/>
        <w:jc w:val="both"/>
      </w:pPr>
      <w:r w:rsidRPr="00C008BA">
        <w:rPr>
          <w:rStyle w:val="contentpasted0"/>
          <w:rFonts w:cstheme="minorHAnsi"/>
        </w:rPr>
        <w:t>Az FPKOSZ álláspontja</w:t>
      </w:r>
      <w:r w:rsidRPr="00C008BA">
        <w:rPr>
          <w:rStyle w:val="contentpasted0"/>
          <w:rFonts w:cstheme="minorHAnsi"/>
        </w:rPr>
        <w:t xml:space="preserve"> szerint a jelenlegi magyarországi hiteligénylési folyamat a többi európai ország gyakorlatához képest elavultnak tekinthető. Alig van például olyan bank, amely elfogad hiteligényléshez szükséges dokumentumokat AVDH azonosítással, Ügyfélkapun keresztül történt hitelesítéssel.</w:t>
      </w:r>
    </w:p>
    <w:p w14:paraId="46A8AE2B" w14:textId="77777777" w:rsidR="00C008BA" w:rsidRPr="00C008BA" w:rsidRDefault="00C008BA" w:rsidP="00AE0E01">
      <w:pPr>
        <w:pStyle w:val="Nincstrkz"/>
        <w:jc w:val="both"/>
      </w:pPr>
    </w:p>
    <w:p w14:paraId="2468D676" w14:textId="4BA44FA1" w:rsidR="00C008BA" w:rsidRPr="00C008BA" w:rsidRDefault="00C008BA" w:rsidP="00C008BA">
      <w:pPr>
        <w:shd w:val="clear" w:color="auto" w:fill="FFFFFF"/>
        <w:spacing w:after="0"/>
        <w:jc w:val="both"/>
        <w:rPr>
          <w:rStyle w:val="contentpasted0"/>
          <w:rFonts w:cstheme="minorHAnsi"/>
        </w:rPr>
      </w:pPr>
      <w:r w:rsidRPr="00C008BA">
        <w:rPr>
          <w:rStyle w:val="contentpasted0"/>
          <w:rFonts w:cstheme="minorHAnsi"/>
          <w:b/>
          <w:bCs/>
        </w:rPr>
        <w:t>A Szövetség javasolja</w:t>
      </w:r>
      <w:r w:rsidRPr="00C008BA">
        <w:rPr>
          <w:rStyle w:val="contentpasted0"/>
          <w:rFonts w:cstheme="minorHAnsi"/>
          <w:b/>
          <w:bCs/>
        </w:rPr>
        <w:t xml:space="preserve">, hogy AVDH hitelesítéssel – nem opcionálisan, hanem minden bankra kötelezően – elfogadható legyen minden dokumentum, az eredeti dokumentum leadása nélkül. </w:t>
      </w:r>
      <w:r w:rsidRPr="00C008BA">
        <w:rPr>
          <w:rStyle w:val="contentpasted0"/>
          <w:rFonts w:cstheme="minorHAnsi"/>
          <w:b/>
          <w:bCs/>
        </w:rPr>
        <w:t>Az FPKOSZ ja</w:t>
      </w:r>
      <w:r w:rsidRPr="00C008BA">
        <w:rPr>
          <w:rStyle w:val="contentpasted0"/>
          <w:rFonts w:cstheme="minorHAnsi"/>
          <w:b/>
          <w:bCs/>
        </w:rPr>
        <w:t>vasoljuk továbbá a digitális aláírás kötelező elfogadását</w:t>
      </w:r>
      <w:r w:rsidRPr="00C008BA">
        <w:rPr>
          <w:rStyle w:val="contentpasted0"/>
          <w:rFonts w:cstheme="minorHAnsi"/>
        </w:rPr>
        <w:t xml:space="preserve">, pl. a banki Munkáltatói jövedelemigazolás formanyomtatványokon. Valamint a munkáltatói jövedelemigazolás opcionális kiváltásának lehetőségét a JIR rendszer adatainak felhasználásával. </w:t>
      </w:r>
    </w:p>
    <w:p w14:paraId="64F825A9" w14:textId="77777777" w:rsidR="00C008BA" w:rsidRPr="00FA0D1D" w:rsidRDefault="00C008BA" w:rsidP="00C008BA">
      <w:pPr>
        <w:shd w:val="clear" w:color="auto" w:fill="FFFFFF"/>
        <w:spacing w:after="0"/>
        <w:jc w:val="both"/>
        <w:rPr>
          <w:rStyle w:val="contentpasted0"/>
          <w:rFonts w:cstheme="minorHAnsi"/>
          <w:sz w:val="24"/>
          <w:szCs w:val="24"/>
        </w:rPr>
      </w:pPr>
    </w:p>
    <w:p w14:paraId="19609106" w14:textId="529125A6" w:rsidR="00C008BA" w:rsidRDefault="00C008BA" w:rsidP="00C008BA">
      <w:pPr>
        <w:pStyle w:val="Nincstrkz"/>
        <w:jc w:val="both"/>
      </w:pPr>
      <w:r>
        <w:rPr>
          <w:color w:val="002060"/>
        </w:rPr>
        <w:t>4</w:t>
      </w:r>
      <w:r w:rsidRPr="001A5278">
        <w:rPr>
          <w:color w:val="002060"/>
        </w:rPr>
        <w:t xml:space="preserve">., </w:t>
      </w:r>
      <w:r w:rsidRPr="00C008BA">
        <w:rPr>
          <w:color w:val="002060"/>
        </w:rPr>
        <w:t>Egységes szerkezetű hitel termékhirdetmények</w:t>
      </w:r>
    </w:p>
    <w:p w14:paraId="5878913E" w14:textId="77777777" w:rsidR="00C008BA" w:rsidRDefault="00C008BA" w:rsidP="00AE0E01">
      <w:pPr>
        <w:pStyle w:val="Nincstrkz"/>
        <w:jc w:val="both"/>
      </w:pPr>
    </w:p>
    <w:p w14:paraId="603E69C6" w14:textId="77777777" w:rsidR="00C008BA" w:rsidRPr="00C008BA" w:rsidRDefault="00C008BA" w:rsidP="00C008BA">
      <w:pPr>
        <w:jc w:val="both"/>
      </w:pPr>
      <w:r w:rsidRPr="00C008BA">
        <w:t>Minden bank tetszőleges formátumban, szerkezetben és szövegezéssel állítja össze a hiteltermékeiről a hirdetményeit, de még a díjtételek megnevezésében és bontásában is gyakran jelentősen eltérnek egymástól, ezzel a bankok ajánlatainak összehasonlítását és az ügyfelek megértését is nagymértékben megnehezítik.</w:t>
      </w:r>
    </w:p>
    <w:p w14:paraId="1C826BB3" w14:textId="513314D7" w:rsidR="00A2107F" w:rsidRPr="00C008BA" w:rsidRDefault="00C008BA" w:rsidP="00C008BA">
      <w:pPr>
        <w:jc w:val="both"/>
      </w:pPr>
      <w:r w:rsidRPr="00C008BA">
        <w:t xml:space="preserve">Az FPKOSZ </w:t>
      </w:r>
      <w:r w:rsidRPr="00C008BA">
        <w:rPr>
          <w:rStyle w:val="contentpasted0"/>
          <w:rFonts w:cstheme="minorHAnsi"/>
        </w:rPr>
        <w:t>javasolj</w:t>
      </w:r>
      <w:r>
        <w:rPr>
          <w:rStyle w:val="contentpasted0"/>
          <w:rFonts w:cstheme="minorHAnsi"/>
        </w:rPr>
        <w:t>a</w:t>
      </w:r>
      <w:r w:rsidRPr="00C008BA">
        <w:t xml:space="preserve">, hogy a </w:t>
      </w:r>
      <w:r w:rsidRPr="00C008BA">
        <w:rPr>
          <w:b/>
          <w:bCs/>
        </w:rPr>
        <w:t>hiteltermékek hirdetményeit</w:t>
      </w:r>
      <w:r w:rsidRPr="00C008BA">
        <w:t xml:space="preserve"> kötött formátumban tegyék közzé a bankok. A hirdetmények egyes </w:t>
      </w:r>
      <w:r w:rsidRPr="00C008BA">
        <w:rPr>
          <w:b/>
          <w:bCs/>
        </w:rPr>
        <w:t>fejezeteit</w:t>
      </w:r>
      <w:r w:rsidRPr="00C008BA">
        <w:t xml:space="preserve">, továbbá – az elsősorban szabályozói előírásból vagy díjszabásból eredő – minden hirdetményben </w:t>
      </w:r>
      <w:r w:rsidRPr="00C008BA">
        <w:rPr>
          <w:b/>
          <w:bCs/>
        </w:rPr>
        <w:t>megjelenítendő szövegezés</w:t>
      </w:r>
      <w:r w:rsidRPr="00C008BA">
        <w:t xml:space="preserve"> jogszabályi/rendeletben történő </w:t>
      </w:r>
      <w:r w:rsidRPr="00C008BA">
        <w:rPr>
          <w:b/>
          <w:bCs/>
        </w:rPr>
        <w:t>egységesítését</w:t>
      </w:r>
      <w:r w:rsidRPr="00C008BA">
        <w:t xml:space="preserve"> az egyértelmű és összehasonlítható értelmezés érdekében.</w:t>
      </w:r>
    </w:p>
    <w:p w14:paraId="620868DF" w14:textId="56E3B5C2" w:rsidR="00A2107F" w:rsidRDefault="00A2107F" w:rsidP="00A2107F">
      <w:pPr>
        <w:pStyle w:val="Nincstrkz"/>
        <w:jc w:val="both"/>
      </w:pPr>
      <w:r>
        <w:rPr>
          <w:color w:val="002060"/>
        </w:rPr>
        <w:t>5</w:t>
      </w:r>
      <w:r w:rsidRPr="001A5278">
        <w:rPr>
          <w:color w:val="002060"/>
        </w:rPr>
        <w:t xml:space="preserve">., </w:t>
      </w:r>
      <w:bookmarkStart w:id="0" w:name="_Hlk147130047"/>
      <w:r>
        <w:rPr>
          <w:color w:val="002060"/>
        </w:rPr>
        <w:t>CSOK és kapcsolódó támogatott hitel</w:t>
      </w:r>
      <w:bookmarkEnd w:id="0"/>
    </w:p>
    <w:p w14:paraId="45C79C08" w14:textId="77777777" w:rsidR="00C008BA" w:rsidRDefault="00C008BA" w:rsidP="00AE0E01">
      <w:pPr>
        <w:pStyle w:val="Nincstrkz"/>
        <w:jc w:val="both"/>
      </w:pPr>
    </w:p>
    <w:p w14:paraId="0FFFD3ED" w14:textId="7BE6DE8A" w:rsidR="00C008BA" w:rsidRDefault="00A2107F" w:rsidP="00AE0E01">
      <w:pPr>
        <w:pStyle w:val="Nincstrkz"/>
        <w:jc w:val="both"/>
      </w:pPr>
      <w:r>
        <w:t xml:space="preserve">A CSOK és a kapcsolódó támogatott hitel felvétele komoly jelentőséggel bír a lakástranzakciók érdemi részénél. A családok egy része számára ezen finanszírozási elemek nélkül a lakásvásárlás nem megvalósítható. </w:t>
      </w:r>
    </w:p>
    <w:p w14:paraId="1280B429" w14:textId="62AEB792" w:rsidR="00A2107F" w:rsidRDefault="00A2107F" w:rsidP="00AE0E01">
      <w:pPr>
        <w:pStyle w:val="Nincstrkz"/>
        <w:jc w:val="both"/>
        <w:rPr>
          <w:sz w:val="24"/>
          <w:szCs w:val="24"/>
        </w:rPr>
      </w:pPr>
      <w:r>
        <w:t xml:space="preserve">A mai banki gyakorlatban a támogatás követelményeinek történő megfelelést a bankok az ügyfél kérésére nem egységesen vizsgálják előzetesen, az adásvételi szerződés megkötése előtt. Egyes bankok ugyanis nem vizsgálják a megvásárolni kívánt ingatlan jogszabályi megfelelését </w:t>
      </w:r>
      <w:proofErr w:type="spellStart"/>
      <w:r>
        <w:t>teljeskörűen</w:t>
      </w:r>
      <w:proofErr w:type="spellEnd"/>
      <w:r>
        <w:t xml:space="preserve">, miközben a támogatási kérelmek benyújtásának alapfeltétele a </w:t>
      </w:r>
      <w:r w:rsidRPr="002A48A4">
        <w:rPr>
          <w:sz w:val="24"/>
          <w:szCs w:val="24"/>
        </w:rPr>
        <w:t>célingatlanra megkötött végleges adásvételi szerződés</w:t>
      </w:r>
      <w:r>
        <w:rPr>
          <w:sz w:val="24"/>
          <w:szCs w:val="24"/>
        </w:rPr>
        <w:t xml:space="preserve">. </w:t>
      </w:r>
    </w:p>
    <w:p w14:paraId="21DB9174" w14:textId="77777777" w:rsidR="00A2107F" w:rsidRDefault="00A2107F" w:rsidP="00AE0E01">
      <w:pPr>
        <w:pStyle w:val="Nincstrkz"/>
        <w:jc w:val="both"/>
        <w:rPr>
          <w:sz w:val="24"/>
          <w:szCs w:val="24"/>
        </w:rPr>
      </w:pPr>
    </w:p>
    <w:p w14:paraId="4C1A8821" w14:textId="68246351" w:rsidR="00A2107F" w:rsidRDefault="00A2107F" w:rsidP="00A2107F">
      <w:pPr>
        <w:pStyle w:val="Nincstrkz"/>
        <w:jc w:val="both"/>
      </w:pPr>
      <w:r w:rsidRPr="00C008BA">
        <w:t xml:space="preserve">Az FPKOSZ </w:t>
      </w:r>
      <w:r w:rsidRPr="00C008BA">
        <w:rPr>
          <w:rStyle w:val="contentpasted0"/>
          <w:rFonts w:cstheme="minorHAnsi"/>
        </w:rPr>
        <w:t>javasolj</w:t>
      </w:r>
      <w:r>
        <w:rPr>
          <w:rStyle w:val="contentpasted0"/>
          <w:rFonts w:cstheme="minorHAnsi"/>
        </w:rPr>
        <w:t>a</w:t>
      </w:r>
      <w:r w:rsidRPr="00C008BA">
        <w:t>, hogy</w:t>
      </w:r>
      <w:r>
        <w:t xml:space="preserve"> </w:t>
      </w:r>
      <w:r>
        <w:t>az előzetes érétékbecslés szakvéleménynek / tanúsítványnak kötelezően tartalmaznia szükséges, hogy minden jogszabályi feltételnek megfelel az ingatan,</w:t>
      </w:r>
      <w:r>
        <w:t xml:space="preserve"> </w:t>
      </w:r>
      <w:r>
        <w:t>vagy amennyiben nem minden pontjának felel meg, akkor pedig minden olyan körülményt fel kell sorolnia, amelyek miatt esetlegesen nem felel meg az elvárásoknak az értékbecslés pillanatában az ingatlan</w:t>
      </w:r>
      <w:r>
        <w:t>.</w:t>
      </w:r>
      <w:r>
        <w:t xml:space="preserve">  </w:t>
      </w:r>
    </w:p>
    <w:p w14:paraId="53D8479B" w14:textId="4B122776" w:rsidR="00A2107F" w:rsidRDefault="00A2107F" w:rsidP="00AE0E01">
      <w:pPr>
        <w:pStyle w:val="Nincstrkz"/>
        <w:jc w:val="both"/>
      </w:pPr>
      <w:r>
        <w:t xml:space="preserve"> </w:t>
      </w:r>
    </w:p>
    <w:p w14:paraId="0FB5626A" w14:textId="4CA9CCFF" w:rsidR="00A871C5" w:rsidRDefault="00A871C5" w:rsidP="00A871C5">
      <w:pPr>
        <w:pStyle w:val="Nincstrkz"/>
        <w:jc w:val="both"/>
      </w:pPr>
      <w:r>
        <w:rPr>
          <w:color w:val="002060"/>
        </w:rPr>
        <w:t>6</w:t>
      </w:r>
      <w:r w:rsidRPr="001A5278">
        <w:rPr>
          <w:color w:val="002060"/>
        </w:rPr>
        <w:t xml:space="preserve">., </w:t>
      </w:r>
      <w:r>
        <w:rPr>
          <w:color w:val="002060"/>
        </w:rPr>
        <w:t>Hitelkiváltások könnyítése</w:t>
      </w:r>
    </w:p>
    <w:p w14:paraId="1D8B164B" w14:textId="77777777" w:rsidR="00A2107F" w:rsidRDefault="00A2107F" w:rsidP="00AE0E01">
      <w:pPr>
        <w:pStyle w:val="Nincstrkz"/>
        <w:jc w:val="both"/>
      </w:pPr>
    </w:p>
    <w:p w14:paraId="508D4B99" w14:textId="137BD315" w:rsidR="00A2107F" w:rsidRDefault="00A871C5" w:rsidP="00AE0E01">
      <w:pPr>
        <w:pStyle w:val="Nincstrkz"/>
        <w:jc w:val="both"/>
      </w:pPr>
      <w:r w:rsidRPr="00A871C5">
        <w:rPr>
          <w:b/>
          <w:bCs/>
        </w:rPr>
        <w:t xml:space="preserve">A magyarországi hitelkiváltási folyamat </w:t>
      </w:r>
      <w:r w:rsidRPr="00A871C5">
        <w:rPr>
          <w:b/>
          <w:bCs/>
        </w:rPr>
        <w:t xml:space="preserve">a Szövetség </w:t>
      </w:r>
      <w:r w:rsidRPr="00A871C5">
        <w:rPr>
          <w:b/>
          <w:bCs/>
        </w:rPr>
        <w:t>álláspont</w:t>
      </w:r>
      <w:r w:rsidRPr="00A871C5">
        <w:rPr>
          <w:b/>
          <w:bCs/>
        </w:rPr>
        <w:t>ja</w:t>
      </w:r>
      <w:r w:rsidRPr="00A871C5">
        <w:rPr>
          <w:b/>
          <w:bCs/>
        </w:rPr>
        <w:t xml:space="preserve"> szerint a többi európai ország gyakorlatához képest lassú, költséges és minden szereplő számára nehézkes.</w:t>
      </w:r>
      <w:r w:rsidRPr="00A871C5">
        <w:t xml:space="preserve"> Mindennek egyenes következménye, hogy az ügyfelek pénzügyi hátrányt szenvednek: 2021-ben az infláció emelkedésének megindulásával egyértelműen </w:t>
      </w:r>
      <w:proofErr w:type="spellStart"/>
      <w:r w:rsidRPr="00A871C5">
        <w:t>előrejelezhető</w:t>
      </w:r>
      <w:proofErr w:type="spellEnd"/>
      <w:r w:rsidRPr="00A871C5">
        <w:t xml:space="preserve"> volt a kamatok emelkedése és így a pénzügyileg racionális döntés a minimum 10 éves kamatperiódusú hitelekre történő váltás lett volna az ennél rövidebb </w:t>
      </w:r>
      <w:r w:rsidRPr="00A871C5">
        <w:lastRenderedPageBreak/>
        <w:t>kamatfixálással rendelkező ügyfelek számára. Bár minden sajtótermékben olvasható volt a jelenség, az ügyfelek minimális része hajtott végre hitelkiváltást, áttérést biztonságosabb konstrukcióra.</w:t>
      </w:r>
    </w:p>
    <w:p w14:paraId="5AFB1718" w14:textId="77777777" w:rsidR="00A871C5" w:rsidRDefault="00A871C5" w:rsidP="00AE0E01">
      <w:pPr>
        <w:pStyle w:val="Nincstrkz"/>
        <w:jc w:val="both"/>
      </w:pPr>
    </w:p>
    <w:p w14:paraId="0FA2FF9A" w14:textId="77777777" w:rsidR="00A871C5" w:rsidRDefault="00A871C5" w:rsidP="00A871C5">
      <w:pPr>
        <w:pStyle w:val="Nincstrkz"/>
        <w:jc w:val="both"/>
      </w:pPr>
      <w:r>
        <w:t xml:space="preserve">Az </w:t>
      </w:r>
      <w:r w:rsidRPr="00A871C5">
        <w:rPr>
          <w:b/>
          <w:bCs/>
        </w:rPr>
        <w:t>aktuális szabályozás nem teremt egységes keretet a hitelkiváltás folyamata esetén</w:t>
      </w:r>
      <w:r>
        <w:t xml:space="preserve">. A komplex és bonyolult folyamatok miatt a magyar hitelezési piacon alacsony a hitelkiváltás részaránya, illetve nincs érdemi verseny ebben a szegmensben.  Pénzintézetenként </w:t>
      </w:r>
      <w:r w:rsidRPr="00A871C5">
        <w:rPr>
          <w:b/>
          <w:bCs/>
        </w:rPr>
        <w:t>eltérőek a folyamat lépései, ütemezése és a szükséges dokumentációs igény is</w:t>
      </w:r>
      <w:r>
        <w:t xml:space="preserve">. A folyamat komplexitása és túlzott adminisztrációs elvárása nehezítik a folyamatot és a digitalizáció lehetőségét, illetve valós korlátot jelentenek a kiváltásban. A jelenlegi banki folyamatok esetén az ügyfélnek kell beszereznie a hitel- és a végtörlesztési igazolást, amit jellemzően csak személyesen az adott bank fiókjában tud megtenni. Emellett az igazolás kiállításának is több napos, </w:t>
      </w:r>
      <w:proofErr w:type="spellStart"/>
      <w:r>
        <w:t>esetenként</w:t>
      </w:r>
      <w:proofErr w:type="spellEnd"/>
      <w:r>
        <w:t xml:space="preserve"> több hetes átfutási ideje van, ami tovább nyújtja a kiváltás folyamatát. Az </w:t>
      </w:r>
      <w:r w:rsidRPr="00A871C5">
        <w:rPr>
          <w:b/>
          <w:bCs/>
        </w:rPr>
        <w:t>igazolások szerkezete sem egységes</w:t>
      </w:r>
      <w:r>
        <w:t>, ami szintén fennakadásokat okoz.</w:t>
      </w:r>
    </w:p>
    <w:p w14:paraId="7B347548" w14:textId="77777777" w:rsidR="00A871C5" w:rsidRDefault="00A871C5" w:rsidP="00A871C5">
      <w:pPr>
        <w:pStyle w:val="Nincstrkz"/>
        <w:jc w:val="both"/>
      </w:pPr>
    </w:p>
    <w:p w14:paraId="5DB9A3FC" w14:textId="26845028" w:rsidR="00A871C5" w:rsidRDefault="00A871C5" w:rsidP="00A871C5">
      <w:pPr>
        <w:pStyle w:val="Nincstrkz"/>
        <w:jc w:val="both"/>
      </w:pPr>
      <w:r>
        <w:t>Emellett a helyzetet nehezíti, hogy az ügyfelek számára az internetbankon, illetve a mobilbankon keresztül nem érhető el teljeskörű hitel kimutatás, ami az összes hitelre vonatkozó információt tartalmazza.</w:t>
      </w:r>
    </w:p>
    <w:p w14:paraId="427159CA" w14:textId="77777777" w:rsidR="00A871C5" w:rsidRDefault="00A871C5" w:rsidP="00AE0E01">
      <w:pPr>
        <w:pStyle w:val="Nincstrkz"/>
        <w:jc w:val="both"/>
      </w:pPr>
    </w:p>
    <w:p w14:paraId="1039E0CC" w14:textId="77777777" w:rsidR="00A871C5" w:rsidRDefault="00A871C5" w:rsidP="00AE0E01">
      <w:pPr>
        <w:pStyle w:val="Nincstrkz"/>
        <w:jc w:val="both"/>
      </w:pPr>
      <w:r w:rsidRPr="00C008BA">
        <w:t xml:space="preserve">Az FPKOSZ </w:t>
      </w:r>
      <w:r w:rsidRPr="00C008BA">
        <w:rPr>
          <w:rStyle w:val="contentpasted0"/>
          <w:rFonts w:cstheme="minorHAnsi"/>
        </w:rPr>
        <w:t>javasolj</w:t>
      </w:r>
      <w:r>
        <w:rPr>
          <w:rStyle w:val="contentpasted0"/>
          <w:rFonts w:cstheme="minorHAnsi"/>
        </w:rPr>
        <w:t>a</w:t>
      </w:r>
      <w:r>
        <w:t xml:space="preserve"> a hitelkiváltáshoz kapcsolódóan</w:t>
      </w:r>
    </w:p>
    <w:p w14:paraId="0F9BC26D" w14:textId="77777777" w:rsidR="00A871C5" w:rsidRDefault="00A871C5" w:rsidP="00A871C5">
      <w:pPr>
        <w:pStyle w:val="Nincstrkz"/>
        <w:numPr>
          <w:ilvl w:val="0"/>
          <w:numId w:val="4"/>
        </w:numPr>
        <w:jc w:val="both"/>
      </w:pPr>
      <w:r>
        <w:t>a dokumentáció egységesítését,</w:t>
      </w:r>
    </w:p>
    <w:p w14:paraId="7F85BE4B" w14:textId="4E4E414A" w:rsidR="00C008BA" w:rsidRDefault="00A871C5" w:rsidP="00A871C5">
      <w:pPr>
        <w:pStyle w:val="Nincstrkz"/>
        <w:numPr>
          <w:ilvl w:val="0"/>
          <w:numId w:val="4"/>
        </w:numPr>
        <w:jc w:val="both"/>
      </w:pPr>
      <w:r>
        <w:t>az adósok számára az online banki felületeken teljesértékű és tartalmú tartozás kimutatás rendelkezésre bocsátását a bankoktól</w:t>
      </w:r>
    </w:p>
    <w:p w14:paraId="431F0A67" w14:textId="0800167D" w:rsidR="00A871C5" w:rsidRDefault="00A871C5" w:rsidP="00A871C5">
      <w:pPr>
        <w:pStyle w:val="Nincstrkz"/>
        <w:numPr>
          <w:ilvl w:val="0"/>
          <w:numId w:val="4"/>
        </w:numPr>
        <w:jc w:val="both"/>
      </w:pPr>
      <w:r>
        <w:t>egyszerűsített és gyorsított hitelbírálat lehetőségét KHR adatok alapján</w:t>
      </w:r>
    </w:p>
    <w:p w14:paraId="6037A96A" w14:textId="08757185" w:rsidR="00A871C5" w:rsidRDefault="00A871C5" w:rsidP="00A871C5">
      <w:pPr>
        <w:pStyle w:val="Nincstrkz"/>
        <w:numPr>
          <w:ilvl w:val="0"/>
          <w:numId w:val="4"/>
        </w:numPr>
        <w:jc w:val="both"/>
      </w:pPr>
      <w:r>
        <w:t>egyszerűsített értékbecslés lehetőségét</w:t>
      </w:r>
    </w:p>
    <w:p w14:paraId="5697FCFB" w14:textId="77777777" w:rsidR="00A871C5" w:rsidRDefault="00A871C5" w:rsidP="00AE0E01">
      <w:pPr>
        <w:pStyle w:val="Nincstrkz"/>
        <w:jc w:val="both"/>
      </w:pPr>
    </w:p>
    <w:p w14:paraId="2C7F8ECF" w14:textId="125516AD" w:rsidR="00A871C5" w:rsidRDefault="00A871C5" w:rsidP="00A871C5">
      <w:pPr>
        <w:pStyle w:val="Nincstrkz"/>
        <w:jc w:val="both"/>
      </w:pPr>
      <w:r>
        <w:rPr>
          <w:color w:val="002060"/>
        </w:rPr>
        <w:t>7</w:t>
      </w:r>
      <w:r w:rsidRPr="001A5278">
        <w:rPr>
          <w:color w:val="002060"/>
        </w:rPr>
        <w:t xml:space="preserve">., </w:t>
      </w:r>
      <w:r>
        <w:rPr>
          <w:color w:val="002060"/>
        </w:rPr>
        <w:t>Bankok közötti árazási versenyt csökkentő tényezők felszámolása</w:t>
      </w:r>
    </w:p>
    <w:p w14:paraId="31AA00A0" w14:textId="77777777" w:rsidR="00A871C5" w:rsidRDefault="00A871C5" w:rsidP="00AE0E01">
      <w:pPr>
        <w:pStyle w:val="Nincstrkz"/>
        <w:jc w:val="both"/>
      </w:pPr>
    </w:p>
    <w:p w14:paraId="53F36791" w14:textId="6A6BEF1B" w:rsidR="00A871C5" w:rsidRDefault="00EE4579" w:rsidP="00AE0E01">
      <w:pPr>
        <w:pStyle w:val="Nincstrkz"/>
        <w:jc w:val="both"/>
      </w:pPr>
      <w:r>
        <w:t xml:space="preserve">A magyar hitelpiaci egyedi szabályozói eleme nemzetközi összehasonlításban a bankok által közvetítőknek fizethető jutalékok korlátozása. A környező országokban mind az egy főre jutó hitelkihelyezés, mind a lakosság GDP arányos eladósodottsága, mind a lakosság összjövedelmére vetített hitelállomány vonatkozásában aktívabb hitelpiac működik a jutalékok korlátozása nélkül. </w:t>
      </w:r>
    </w:p>
    <w:p w14:paraId="023C0130" w14:textId="60D2F2E5" w:rsidR="00EE4579" w:rsidRDefault="00EE4579" w:rsidP="00AE0E01">
      <w:pPr>
        <w:pStyle w:val="Nincstrkz"/>
        <w:jc w:val="both"/>
      </w:pPr>
      <w:r>
        <w:t xml:space="preserve">Az elmúlt években a Babaváró hitel és a Zöld Otthon Program (ZOP) esetében is igazolást nyert, hogy az extrém mértékű jutalékkorlátozás szabályozói oldalról a bankok közötti </w:t>
      </w:r>
      <w:proofErr w:type="spellStart"/>
      <w:r>
        <w:t>árversenyt</w:t>
      </w:r>
      <w:proofErr w:type="spellEnd"/>
      <w:r>
        <w:t xml:space="preserve"> csökkenti, melynek végső eredménye a hitelfelvevő rosszabb pozíciója. </w:t>
      </w:r>
      <w:r w:rsidRPr="00EE4579">
        <w:rPr>
          <w:b/>
          <w:bCs/>
        </w:rPr>
        <w:t>A ZOP esetében tíz milliárd forinton felüli az a hitelfelvevői hátrány, mely a közvetítők piaci kiszorításából és így a hitelfelvevők érdekeinek alacsonyabb szintű képviseletéből származott</w:t>
      </w:r>
      <w:r>
        <w:t xml:space="preserve">. </w:t>
      </w:r>
    </w:p>
    <w:p w14:paraId="4E1B8BB6" w14:textId="77777777" w:rsidR="00EE4579" w:rsidRDefault="00EE4579" w:rsidP="00AE0E01">
      <w:pPr>
        <w:pStyle w:val="Nincstrkz"/>
        <w:jc w:val="both"/>
      </w:pPr>
    </w:p>
    <w:p w14:paraId="4E838D4F" w14:textId="797A1EE9" w:rsidR="00EE4579" w:rsidRDefault="00EE4579" w:rsidP="00AE0E01">
      <w:pPr>
        <w:pStyle w:val="Nincstrkz"/>
        <w:jc w:val="both"/>
      </w:pPr>
      <w:r>
        <w:t xml:space="preserve">A Szövetség javasolja, hogy jutalékszabályozást érintő módosítások előtt a hitelfelvevői érdekeket képviselő, környező országok gyakorlatát is jól ismerő FPKOSZ álláspontját is hallgassa meg a szabályozó. </w:t>
      </w:r>
    </w:p>
    <w:p w14:paraId="1736EF70" w14:textId="77777777" w:rsidR="00522B48" w:rsidRDefault="00522B48" w:rsidP="00AE0E01">
      <w:pPr>
        <w:pStyle w:val="Nincstrkz"/>
        <w:jc w:val="both"/>
      </w:pPr>
    </w:p>
    <w:p w14:paraId="7E950576" w14:textId="0C30D7F0" w:rsidR="00522B48" w:rsidRPr="00522B48" w:rsidRDefault="00522B48" w:rsidP="00AE0E01">
      <w:pPr>
        <w:pStyle w:val="Nincstrkz"/>
        <w:jc w:val="both"/>
        <w:rPr>
          <w:b/>
          <w:bCs/>
          <w:sz w:val="24"/>
          <w:szCs w:val="24"/>
        </w:rPr>
      </w:pPr>
      <w:r w:rsidRPr="00522B48">
        <w:rPr>
          <w:b/>
          <w:bCs/>
          <w:sz w:val="24"/>
          <w:szCs w:val="24"/>
        </w:rPr>
        <w:t xml:space="preserve">Nincs túlzott eladósodottság </w:t>
      </w:r>
    </w:p>
    <w:p w14:paraId="6E1677D1" w14:textId="77777777" w:rsidR="00522B48" w:rsidRDefault="00522B48" w:rsidP="00AE0E01">
      <w:pPr>
        <w:pStyle w:val="Nincstrkz"/>
        <w:jc w:val="both"/>
      </w:pPr>
    </w:p>
    <w:p w14:paraId="3DE1EAEA" w14:textId="679679A9" w:rsidR="00522B48" w:rsidRDefault="00522B48" w:rsidP="00AE0E01">
      <w:pPr>
        <w:pStyle w:val="Nincstrkz"/>
        <w:jc w:val="both"/>
      </w:pPr>
      <w:r>
        <w:t xml:space="preserve">A magyar lakosság eladósodottsága kiugróan alacsony nemzetközi összehasonlításban. Ezt több mutatón keresztül is vizsgálhatjuk, talán az egyik legfontosabb a jövedelemhez viszonyított eladósodottság (hiszen a hitelek havi törlesztése a jövedelemből történik). Jövedelemarányosan még a Románia lakásloghitel állománya is meghaladja a hazai értéket. </w:t>
      </w:r>
    </w:p>
    <w:p w14:paraId="576C7A56" w14:textId="77777777" w:rsidR="00522B48" w:rsidRDefault="00522B48" w:rsidP="00AE0E01">
      <w:pPr>
        <w:pStyle w:val="Nincstrkz"/>
        <w:jc w:val="both"/>
      </w:pPr>
    </w:p>
    <w:p w14:paraId="081F6E80" w14:textId="6923681E" w:rsidR="00522B48" w:rsidRDefault="00A97397" w:rsidP="00AE0E01">
      <w:pPr>
        <w:pStyle w:val="Nincstrkz"/>
        <w:jc w:val="both"/>
      </w:pPr>
      <w:r>
        <w:rPr>
          <w:noProof/>
        </w:rPr>
        <w:lastRenderedPageBreak/>
        <w:drawing>
          <wp:inline distT="0" distB="0" distL="0" distR="0" wp14:anchorId="0E5E3F89" wp14:editId="1C27D799">
            <wp:extent cx="4588011" cy="3428365"/>
            <wp:effectExtent l="0" t="0" r="3175" b="635"/>
            <wp:docPr id="2068965695" name="Kép 1" descr="A képen szöveg, képernyőkép, Betűtípus, szá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965695" name="Kép 1" descr="A képen szöveg, képernyőkép, Betűtípus, szám látható&#10;&#10;Automatikusan generált leírá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8600" cy="344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27B0D" w14:textId="77777777" w:rsidR="00522B48" w:rsidRDefault="00522B48" w:rsidP="00AE0E01">
      <w:pPr>
        <w:pStyle w:val="Nincstrkz"/>
        <w:jc w:val="both"/>
      </w:pPr>
    </w:p>
    <w:p w14:paraId="29F34009" w14:textId="77777777" w:rsidR="00EE4579" w:rsidRDefault="00EE4579" w:rsidP="00AE0E01">
      <w:pPr>
        <w:pStyle w:val="Nincstrkz"/>
        <w:jc w:val="both"/>
      </w:pPr>
    </w:p>
    <w:p w14:paraId="37D24251" w14:textId="77777777" w:rsidR="007E6D81" w:rsidRPr="00A97397" w:rsidRDefault="007E6D81" w:rsidP="00AE0E01">
      <w:pPr>
        <w:jc w:val="both"/>
        <w:rPr>
          <w:i/>
          <w:iCs/>
          <w:sz w:val="18"/>
          <w:szCs w:val="18"/>
        </w:rPr>
      </w:pPr>
      <w:r w:rsidRPr="00A97397">
        <w:rPr>
          <w:i/>
          <w:iCs/>
          <w:sz w:val="18"/>
          <w:szCs w:val="18"/>
        </w:rPr>
        <w:t>Információk a Független Pénzügyi Közvetítők Országos Szövetségéről (FPKOSZ)</w:t>
      </w:r>
    </w:p>
    <w:p w14:paraId="1846F35F" w14:textId="17992F67" w:rsidR="007E6D81" w:rsidRPr="00A97397" w:rsidRDefault="007E6D81" w:rsidP="00AE0E01">
      <w:pPr>
        <w:jc w:val="both"/>
        <w:rPr>
          <w:i/>
          <w:iCs/>
          <w:sz w:val="18"/>
          <w:szCs w:val="18"/>
        </w:rPr>
      </w:pPr>
      <w:r w:rsidRPr="00A97397">
        <w:rPr>
          <w:i/>
          <w:iCs/>
          <w:sz w:val="18"/>
          <w:szCs w:val="18"/>
        </w:rPr>
        <w:t xml:space="preserve">A 2022 nyarán magalapított Független Pénzügyi Közvetítők Szövetségét (FPKOSZ) a forgalom alapján hat legnagyobb hazai független pénzügyi közvetítő cég alapította, majd még a tavalyi évben a tagok száma kilencre bővült. A szakmai szervezet célja a </w:t>
      </w:r>
      <w:r w:rsidR="00AE0E01" w:rsidRPr="00A97397">
        <w:rPr>
          <w:i/>
          <w:iCs/>
          <w:sz w:val="18"/>
          <w:szCs w:val="18"/>
        </w:rPr>
        <w:t xml:space="preserve">pénzügyi </w:t>
      </w:r>
      <w:r w:rsidRPr="00A97397">
        <w:rPr>
          <w:i/>
          <w:iCs/>
          <w:sz w:val="18"/>
          <w:szCs w:val="18"/>
        </w:rPr>
        <w:t>közvetítői szakma érdekképviselete, tevékenységük láthatóvá tétele, olyan szabályozói javaslatok aktív megfogalmazása, amelyek érdemben hozzájárulnak az ügyfelek hatékony és értékalapú kiszolgálásához. A hazai lakáshitelezési piacon a független közvetítők 46%-os piaci súlyt képviselnek, ezen belül az FPKOSZ tagok a volumen 85%-át adják.</w:t>
      </w:r>
    </w:p>
    <w:p w14:paraId="37107170" w14:textId="77777777" w:rsidR="007E6D81" w:rsidRDefault="007E6D81" w:rsidP="00AE0E01">
      <w:pPr>
        <w:pStyle w:val="Nincstrkz"/>
        <w:jc w:val="both"/>
      </w:pPr>
    </w:p>
    <w:p w14:paraId="070D7953" w14:textId="77777777" w:rsidR="007E6D81" w:rsidRDefault="007E6D81" w:rsidP="00AE0E01">
      <w:pPr>
        <w:pStyle w:val="Nincstrkz"/>
        <w:jc w:val="both"/>
      </w:pPr>
    </w:p>
    <w:sectPr w:rsidR="007E6D81" w:rsidSect="00A9739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0136"/>
    <w:multiLevelType w:val="hybridMultilevel"/>
    <w:tmpl w:val="DBC48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27A0"/>
    <w:multiLevelType w:val="hybridMultilevel"/>
    <w:tmpl w:val="E24870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13B71"/>
    <w:multiLevelType w:val="hybridMultilevel"/>
    <w:tmpl w:val="B1F814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57F7"/>
    <w:multiLevelType w:val="hybridMultilevel"/>
    <w:tmpl w:val="5546C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58AD"/>
    <w:multiLevelType w:val="hybridMultilevel"/>
    <w:tmpl w:val="812AC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370835">
    <w:abstractNumId w:val="1"/>
  </w:num>
  <w:num w:numId="2" w16cid:durableId="947470497">
    <w:abstractNumId w:val="0"/>
  </w:num>
  <w:num w:numId="3" w16cid:durableId="767624347">
    <w:abstractNumId w:val="2"/>
  </w:num>
  <w:num w:numId="4" w16cid:durableId="55932083">
    <w:abstractNumId w:val="4"/>
  </w:num>
  <w:num w:numId="5" w16cid:durableId="2035419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zNDOwMDUxMTUzMzFX0lEKTi0uzszPAykwrAUAyecXBywAAAA="/>
  </w:docVars>
  <w:rsids>
    <w:rsidRoot w:val="007E6D81"/>
    <w:rsid w:val="000A76A3"/>
    <w:rsid w:val="001A5278"/>
    <w:rsid w:val="00396B70"/>
    <w:rsid w:val="003F486D"/>
    <w:rsid w:val="00522B48"/>
    <w:rsid w:val="007D4732"/>
    <w:rsid w:val="007E6D81"/>
    <w:rsid w:val="0096019F"/>
    <w:rsid w:val="00A2107F"/>
    <w:rsid w:val="00A871C5"/>
    <w:rsid w:val="00A97397"/>
    <w:rsid w:val="00AE0E01"/>
    <w:rsid w:val="00BB3CE0"/>
    <w:rsid w:val="00C008BA"/>
    <w:rsid w:val="00EE4579"/>
    <w:rsid w:val="00F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B9A5"/>
  <w15:chartTrackingRefBased/>
  <w15:docId w15:val="{76ADDAD0-D4C9-41A6-9B75-ACE5E9B7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D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E6D8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A5278"/>
    <w:pPr>
      <w:ind w:left="720"/>
      <w:contextualSpacing/>
    </w:pPr>
    <w:rPr>
      <w:kern w:val="0"/>
      <w14:ligatures w14:val="none"/>
    </w:rPr>
  </w:style>
  <w:style w:type="character" w:customStyle="1" w:styleId="contentpasted0">
    <w:name w:val="contentpasted0"/>
    <w:basedOn w:val="Bekezdsalapbettpusa"/>
    <w:rsid w:val="00C0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1454</Words>
  <Characters>10039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Sándorfi Balázs</dc:creator>
  <cp:keywords/>
  <dc:description/>
  <cp:lastModifiedBy>Sándorfi Balázs</cp:lastModifiedBy>
  <cp:revision>10</cp:revision>
  <dcterms:created xsi:type="dcterms:W3CDTF">2023-10-02T04:54:00Z</dcterms:created>
  <dcterms:modified xsi:type="dcterms:W3CDTF">2023-10-02T07:13:00Z</dcterms:modified>
</cp:coreProperties>
</file>